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288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генерального директора ООО «ГАРГОМА» </w:t>
      </w:r>
      <w:r>
        <w:rPr>
          <w:rFonts w:ascii="Times New Roman" w:eastAsia="Times New Roman" w:hAnsi="Times New Roman" w:cs="Times New Roman"/>
          <w:b/>
          <w:bCs/>
        </w:rPr>
        <w:t>Гаргома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«ГАРГОМА»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 xml:space="preserve">, зд.19, </w:t>
      </w:r>
      <w:r>
        <w:rPr>
          <w:rFonts w:ascii="Times New Roman" w:eastAsia="Times New Roman" w:hAnsi="Times New Roman" w:cs="Times New Roman"/>
        </w:rPr>
        <w:t>каб.315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п.1 </w:t>
      </w:r>
      <w:r>
        <w:rPr>
          <w:rFonts w:ascii="Times New Roman" w:eastAsia="Times New Roman" w:hAnsi="Times New Roman" w:cs="Times New Roman"/>
        </w:rPr>
        <w:t xml:space="preserve">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Гаргома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«ГАРГОМА» </w:t>
      </w:r>
      <w:r>
        <w:rPr>
          <w:rFonts w:ascii="Times New Roman" w:eastAsia="Times New Roman" w:hAnsi="Times New Roman" w:cs="Times New Roman"/>
          <w:b/>
          <w:bCs/>
        </w:rPr>
        <w:t>Гаргома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1403240083661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